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179" w:type="dxa"/>
        <w:jc w:val="center"/>
        <w:tblCellMar>
          <w:left w:w="120" w:type="dxa"/>
          <w:right w:w="120" w:type="dxa"/>
        </w:tblCellMar>
        <w:tblLook w:val="00A0" w:firstRow="1" w:lastRow="0" w:firstColumn="1" w:lastColumn="0" w:noHBand="0" w:noVBand="0"/>
      </w:tblPr>
      <w:tblGrid>
        <w:gridCol w:w="3682"/>
        <w:gridCol w:w="3288"/>
        <w:gridCol w:w="617"/>
        <w:gridCol w:w="2592"/>
      </w:tblGrid>
      <w:tr>
        <w:trPr>
          <w:jc w:val="center"/>
          <w:trHeight w:val="964"/>
        </w:trPr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1017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  <w:szCs w:val="22"/>
                <w:lang w:eastAsia="en-US"/>
              </w:rPr>
            </w:pPr>
            <w:r>
              <w:rPr>
                <w:rFonts w:ascii="Century" w:hAnsi="Century" w:cs="Times New Roman"/>
                <w:b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61975" cy="685800"/>
                      <wp:effectExtent l="19050" t="0" r="9525" b="0"/>
                      <wp:docPr id="1" name="Рисунок 1" descr="gerb10bw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 descr="gerb10bw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61975" cy="685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4.3pt;height:54.0pt;mso-wrap-distance-left:0.0pt;mso-wrap-distance-top:0.0pt;mso-wrap-distance-right:0.0pt;mso-wrap-distance-bottom:0.0pt;" stroked="f" strokeweight="0.75pt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/>
          </w:p>
        </w:tc>
      </w:tr>
      <w:tr>
        <w:trPr>
          <w:jc w:val="center"/>
          <w:trHeight w:val="1332"/>
        </w:trPr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10179" w:type="dxa"/>
            <w:textDirection w:val="lrTb"/>
            <w:noWrap w:val="false"/>
          </w:tcPr>
          <w:p>
            <w:pPr>
              <w:jc w:val="center"/>
              <w:spacing w:before="120"/>
              <w:widowControl/>
              <w:rPr>
                <w:rFonts w:ascii="Book Antiqua" w:hAnsi="Book Antiqua" w:cs="Times New Roman"/>
                <w:b/>
                <w:color w:val="000000"/>
                <w:spacing w:val="60"/>
                <w:sz w:val="32"/>
                <w:szCs w:val="32"/>
              </w:rPr>
            </w:pPr>
            <w:r>
              <w:rPr>
                <w:rFonts w:ascii="Book Antiqua" w:hAnsi="Book Antiqua" w:cs="Times New Roman"/>
                <w:b/>
                <w:color w:val="000000"/>
                <w:spacing w:val="60"/>
                <w:sz w:val="32"/>
                <w:szCs w:val="32"/>
              </w:rPr>
              <w:t xml:space="preserve">АДМИНИСТРАЦИЯ ГОРОДА КОСТРОМЫ</w:t>
            </w:r>
            <w:r/>
          </w:p>
          <w:p>
            <w:pPr>
              <w:jc w:val="center"/>
              <w:spacing w:before="120"/>
              <w:widowControl/>
              <w:rPr>
                <w:rFonts w:ascii="Book Antiqua" w:hAnsi="Book Antiqua" w:cs="Times New Roman"/>
                <w:b/>
                <w:color w:val="000000"/>
                <w:spacing w:val="60"/>
                <w:sz w:val="32"/>
                <w:szCs w:val="32"/>
              </w:rPr>
            </w:pPr>
            <w:r>
              <w:rPr>
                <w:rFonts w:ascii="Book Antiqua" w:hAnsi="Book Antiqua" w:cs="Times New Roman"/>
                <w:b/>
                <w:color w:val="000000"/>
                <w:spacing w:val="60"/>
                <w:sz w:val="32"/>
                <w:szCs w:val="32"/>
              </w:rPr>
              <w:t xml:space="preserve">УПРАВЛЕНИЕ ЭКОНОМИКИ</w:t>
            </w:r>
            <w:r/>
          </w:p>
          <w:p>
            <w:pPr>
              <w:jc w:val="center"/>
              <w:spacing w:before="240" w:after="240"/>
              <w:widowControl/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  <w:t xml:space="preserve">ПРОТОКОЛ</w:t>
            </w:r>
            <w:r/>
          </w:p>
          <w:p>
            <w:pPr>
              <w:jc w:val="center"/>
              <w:widowControl/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  <w:t xml:space="preserve">Рассмотрения заявок на участие в аукционе</w:t>
            </w:r>
            <w:r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  <w:t xml:space="preserve"> </w:t>
            </w:r>
            <w:r/>
          </w:p>
          <w:p>
            <w:pPr>
              <w:jc w:val="center"/>
              <w:widowControl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  <w:t xml:space="preserve">19</w:t>
            </w:r>
            <w:r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  <w:t xml:space="preserve">ию</w:t>
            </w:r>
            <w:r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  <w:t xml:space="preserve">л</w:t>
            </w:r>
            <w:r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  <w:t xml:space="preserve">я</w:t>
            </w:r>
            <w:r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  <w:t xml:space="preserve">20</w:t>
            </w:r>
            <w:r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  <w:t xml:space="preserve">2</w:t>
            </w:r>
            <w:r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  <w:t xml:space="preserve">3</w:t>
            </w:r>
            <w:r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  <w:t xml:space="preserve"> года </w:t>
            </w:r>
            <w:r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право заключения договоров </w:t>
            </w:r>
            <w:r/>
          </w:p>
          <w:p>
            <w:pPr>
              <w:jc w:val="center"/>
              <w:widowControl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 размещении нестационарных торговых объектов</w:t>
            </w:r>
            <w:r/>
          </w:p>
          <w:p>
            <w:pPr>
              <w:jc w:val="center"/>
              <w:widowControl/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Book Antiqua" w:hAnsi="Book Antiqua" w:cs="Times New Roman"/>
                <w:b/>
                <w:color w:val="000000"/>
                <w:sz w:val="32"/>
                <w:szCs w:val="32"/>
              </w:rPr>
            </w:r>
            <w:r/>
          </w:p>
        </w:tc>
      </w:tr>
      <w:tr>
        <w:trPr>
          <w:jc w:val="center"/>
          <w:trHeight w:val="548"/>
        </w:trPr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82" w:type="dxa"/>
            <w:textDirection w:val="lrTb"/>
            <w:noWrap w:val="false"/>
          </w:tcPr>
          <w:p>
            <w:pPr>
              <w:jc w:val="both"/>
              <w:spacing w:before="240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17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ию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года</w:t>
            </w:r>
            <w:r/>
          </w:p>
        </w:tc>
        <w:tc>
          <w:tcPr>
            <w:tcW w:w="3288" w:type="dxa"/>
            <w:textDirection w:val="lrTb"/>
            <w:noWrap w:val="false"/>
          </w:tcPr>
          <w:p>
            <w:pPr>
              <w:jc w:val="both"/>
              <w:spacing w:before="240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r>
            <w:r/>
          </w:p>
        </w:tc>
        <w:tc>
          <w:tcPr>
            <w:tcW w:w="617" w:type="dxa"/>
            <w:vAlign w:val="bottom"/>
            <w:textDirection w:val="lrTb"/>
            <w:noWrap w:val="false"/>
          </w:tcPr>
          <w:p>
            <w:pPr>
              <w:jc w:val="center"/>
              <w:spacing w:before="240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592" w:type="dxa"/>
            <w:textDirection w:val="lrTb"/>
            <w:noWrap w:val="false"/>
          </w:tcPr>
          <w:p>
            <w:pPr>
              <w:jc w:val="both"/>
              <w:spacing w:before="240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/з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/>
          </w:p>
        </w:tc>
      </w:tr>
      <w:tr>
        <w:trPr>
          <w:jc w:val="center"/>
          <w:trHeight w:val="428"/>
        </w:trPr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10179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/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671"/>
              <w:gridCol w:w="4671"/>
            </w:tblGrid>
            <w:tr>
              <w:trPr>
                <w:trHeight w:val="1599"/>
              </w:trPr>
              <w:tc>
                <w:tcPr>
                  <w:tcW w:w="4671" w:type="dxa"/>
                  <w:textDirection w:val="lrTb"/>
                  <w:noWrap w:val="false"/>
                </w:tcPr>
                <w:tbl>
                  <w:tblPr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4455"/>
                  </w:tblGrid>
                  <w:tr>
                    <w:trPr>
                      <w:trHeight w:val="1599"/>
                    </w:trPr>
                    <w:tc>
                      <w:tcPr>
                        <w:tcW w:w="4671" w:type="dxa"/>
                        <w:textDirection w:val="lrTb"/>
                        <w:noWrap w:val="false"/>
                      </w:tcPr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eastAsia="en-US"/>
                          </w:rPr>
                          <w:t xml:space="preserve">Председатель комиссии:</w:t>
                        </w:r>
                        <w:r/>
                      </w:p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Начальник Управления экономики</w:t>
                        </w:r>
                        <w:r/>
                      </w:p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Администрации города Костромы </w:t>
                        </w:r>
                        <w:r/>
                      </w:p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r>
                        <w:r/>
                      </w:p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eastAsia="en-US"/>
                          </w:rPr>
                          <w:t xml:space="preserve">Секретарь комиссии:</w:t>
                        </w:r>
                        <w:r/>
                      </w:p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Консультант отдела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потребительского рынка и услуг Управления экономики Администрации города Костромы         </w:t>
                        </w:r>
                        <w:r/>
                      </w:p>
                    </w:tc>
                  </w:tr>
                  <w:tr>
                    <w:trPr>
                      <w:trHeight w:val="426"/>
                    </w:trPr>
                    <w:tc>
                      <w:tcPr>
                        <w:tcW w:w="4671" w:type="dxa"/>
                        <w:textDirection w:val="lrTb"/>
                        <w:noWrap w:val="false"/>
                      </w:tcPr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Присутствовали:</w:t>
                        </w:r>
                        <w:r/>
                      </w:p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Заместитель н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ачальник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а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 Управления экономики</w:t>
                        </w:r>
                        <w:r/>
                      </w:p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Администрации города Костромы</w:t>
                        </w:r>
                        <w:r/>
                      </w:p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 </w:t>
                        </w:r>
                        <w:r/>
                      </w:p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Начальник отдела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потребительского рынка и услуг Управления экономики Администрации города Костромы             </w:t>
                        </w:r>
                        <w:r/>
                      </w:p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r>
                        <w:r/>
                      </w:p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Начальник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отдела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рекламно-информационной деятельности и развития туризма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 Управления экономики Администрации города Костромы             </w:t>
                        </w:r>
                        <w:r/>
                      </w:p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lang w:eastAsia="en-US"/>
                          </w:rPr>
                        </w:r>
                        <w:r/>
                      </w:p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Консультант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юрист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 Управления экономики Администрации города Костромы             </w:t>
                        </w:r>
                        <w:r/>
                      </w:p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r>
                        <w:r/>
                      </w:p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Экономист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отдела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потребительского рынка и услуг Управления экономики Администра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ции города Костромы            </w:t>
                        </w:r>
                        <w:r/>
                      </w:p>
                      <w:p>
                        <w:pPr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r>
                        <w:r/>
                      </w:p>
                      <w:p>
                        <w:pPr>
                          <w:jc w:val="both"/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Депутат Думы города Костромы седьмого созыва по избирательному округу №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8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(по согласованию) </w:t>
                        </w:r>
                        <w:r/>
                      </w:p>
                      <w:p>
                        <w:pPr>
                          <w:jc w:val="both"/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r>
                        <w:r/>
                      </w:p>
                      <w:p>
                        <w:pPr>
                          <w:jc w:val="both"/>
                          <w:widowControl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r>
                        <w:r/>
                      </w:p>
                      <w:p>
                        <w:pPr>
                          <w:tabs>
                            <w:tab w:val="left" w:pos="3540" w:leader="none"/>
                          </w:tabs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r>
                        <w:r/>
                      </w:p>
                    </w:tc>
                  </w:tr>
                </w:tbl>
                <w:p>
                  <w:pPr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r>
                  <w:r/>
                </w:p>
              </w:tc>
              <w:tc>
                <w:tcPr>
                  <w:tcW w:w="4671" w:type="dxa"/>
                  <w:textDirection w:val="lrTb"/>
                  <w:noWrap w:val="false"/>
                </w:tcPr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- И. Ю. Проскурина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 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                                     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- М. Г. Журавлева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- О. В. Исакова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- И. А. Соколова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О. В. Федотова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-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С. А. Нахмуров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   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- А. В. Афанасьева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А. С. Дубов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 </w:t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r>
                  <w:r/>
                </w:p>
                <w:p>
                  <w:pPr>
                    <w:jc w:val="both"/>
                    <w:widowControl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r>
                  <w:r/>
                </w:p>
              </w:tc>
            </w:tr>
          </w:tbl>
          <w:p>
            <w:pPr>
              <w:ind w:firstLine="851"/>
              <w:jc w:val="both"/>
              <w:spacing w:after="120"/>
              <w:widowControl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r>
            <w:r/>
          </w:p>
          <w:p>
            <w:pPr>
              <w:ind w:firstLine="851"/>
              <w:jc w:val="both"/>
              <w:spacing w:after="120"/>
              <w:widowControl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highlight w:val="none"/>
              </w:rPr>
            </w:r>
            <w:r/>
          </w:p>
          <w:p>
            <w:pPr>
              <w:ind w:firstLine="851"/>
              <w:jc w:val="both"/>
              <w:spacing w:after="120"/>
              <w:widowControl/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рассмотрении заявок на участие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аукцион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года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на право заключения договора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 размещ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ении нестационарных торговых объектов на землях и земельных участках, находящихся в муниципальной собственности города Костромы, землях и земельных участках, государственная собственность на которые не разграничена, расположенных в границах города Костромы</w:t>
            </w:r>
            <w:r/>
          </w:p>
          <w:p>
            <w:pPr>
              <w:ind w:firstLine="851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соответствии с </w:t>
            </w:r>
            <w:r>
              <w:rPr>
                <w:rStyle w:val="845"/>
                <w:rFonts w:ascii="Times New Roman" w:hAnsi="Times New Roman" w:cs="Times New Roman"/>
                <w:b w:val="0"/>
                <w:sz w:val="24"/>
                <w:szCs w:val="24"/>
              </w:rPr>
              <w:t xml:space="preserve">Порядком размещения нестационарных торговых объектов на территории города Костромы, утвержденным решением Думы города Костромы от 26 ноября 2020 года № 205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аукционной документацией о проведении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аукциона на право заключения договора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размещ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ении нестационарных торговых объектов на землях и земельных участках, находящихся в муниципальной собственности города Костромы, землях и земельных участках, государственная собственность на которые не разграничена, расположенных в границах города Костромы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распоряжением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экономики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Костромы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17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июля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.00 часов по адресу: город Кострома,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улица Советская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дом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зал заседаний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Комиссия по проведению аукционов на право заключения договоров о размещении нестационарн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торгов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 на территории города Костромы реш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ла:</w:t>
            </w:r>
            <w:r/>
          </w:p>
          <w:p>
            <w:pPr>
              <w:pStyle w:val="841"/>
              <w:numPr>
                <w:ilvl w:val="1"/>
                <w:numId w:val="14"/>
              </w:numPr>
              <w:ind w:left="0" w:firstLine="851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Признать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следующих заявителей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участниками аукциона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допустить к участию в аукционе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</w:t>
            </w:r>
            <w:r/>
          </w:p>
          <w:p>
            <w:pPr>
              <w:ind w:firstLine="851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лоту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индивидуального предпринимателя Панасенко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Евхима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Андреевича, заявка и прилагаемые к ней документы соответствуют установленным требованиям и зарегистрирована 3 июля 2023 года № 2 в 10.20 часов;</w:t>
            </w:r>
            <w:r/>
          </w:p>
          <w:p>
            <w:pPr>
              <w:ind w:firstLine="851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лоту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индивидуального предпринимателя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Клукину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Валентину Евгеньевну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заявка и прилагаемые к ней документы соответствуют установленным требованиям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зарегистрирована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июн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я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</w:t>
            </w:r>
            <w:r/>
          </w:p>
          <w:p>
            <w:pPr>
              <w:ind w:firstLine="851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лоту 3 общество с ограниченной ответственностью «ПНМ»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заявка и прилагаемые к ней документы соответствуют установленным требованиям и зарегистрирована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я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.50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часов;</w:t>
            </w:r>
            <w:r/>
          </w:p>
          <w:p>
            <w:pPr>
              <w:ind w:firstLine="851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лоту 4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индивидуального предпринимателя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Комиссарову Татьяну Андреевну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заявка и прилагаемые к ней документы соответствуют установленным требованиям и зарегистрирована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июл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я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</w:t>
            </w:r>
            <w:r/>
          </w:p>
          <w:p>
            <w:pPr>
              <w:pStyle w:val="841"/>
              <w:numPr>
                <w:ilvl w:val="1"/>
                <w:numId w:val="14"/>
              </w:numPr>
              <w:ind w:left="0" w:firstLine="851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соответствии с подпунктом 8.1.1 утвержденной аукционной документации,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признать аукцион несостоявшимся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ам 1,2,3,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связи с подачей одной заявки и признании участником аукциона одного заявителя. </w:t>
            </w:r>
            <w:r/>
          </w:p>
          <w:p>
            <w:pPr>
              <w:ind w:firstLine="709"/>
              <w:jc w:val="both"/>
              <w:spacing w:after="120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Заключить договор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размещении нестационарного торгового объекта по начальной цене договора и на условиях, указанных в документации об аукционе, со следующими заявителями:</w:t>
            </w:r>
            <w:r/>
          </w:p>
          <w:tbl>
            <w:tblPr>
              <w:tblStyle w:val="844"/>
              <w:tblW w:w="10141" w:type="dxa"/>
              <w:tblLook w:val="04A0" w:firstRow="1" w:lastRow="0" w:firstColumn="1" w:lastColumn="0" w:noHBand="0" w:noVBand="1"/>
            </w:tblPr>
            <w:tblGrid>
              <w:gridCol w:w="1765"/>
              <w:gridCol w:w="8376"/>
            </w:tblGrid>
            <w:tr>
              <w:trPr/>
              <w:tc>
                <w:tcPr>
                  <w:tcW w:w="1765" w:type="dxa"/>
                  <w:textDirection w:val="lrTb"/>
                  <w:noWrap w:val="false"/>
                </w:tcPr>
                <w:p>
                  <w:pPr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Лот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1</w:t>
                  </w:r>
                  <w:r/>
                </w:p>
              </w:tc>
              <w:tc>
                <w:tcPr>
                  <w:tcW w:w="8376" w:type="dxa"/>
                  <w:textDirection w:val="lrTb"/>
                  <w:noWrap w:val="false"/>
                </w:tcPr>
                <w:p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индивидуальным предпринимателем Панасенко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Евхимом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Андреевичем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bookmarkStart w:id="0" w:name="_GoBack"/>
                  <w:r/>
                  <w:bookmarkEnd w:id="0"/>
                  <w:r/>
                  <w:r/>
                </w:p>
              </w:tc>
            </w:tr>
            <w:tr>
              <w:trPr/>
              <w:tc>
                <w:tcPr>
                  <w:tcW w:w="1765" w:type="dxa"/>
                  <w:textDirection w:val="lrTb"/>
                  <w:noWrap w:val="false"/>
                </w:tcPr>
                <w:p>
                  <w:pPr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Лот 2</w:t>
                  </w:r>
                  <w:r/>
                </w:p>
              </w:tc>
              <w:tc>
                <w:tcPr>
                  <w:tcW w:w="8376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индивидуальным предпринимателем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Клукиной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Валентиной Евгеньевной</w:t>
                  </w:r>
                  <w:r/>
                </w:p>
              </w:tc>
            </w:tr>
            <w:tr>
              <w:trPr/>
              <w:tc>
                <w:tcPr>
                  <w:tcW w:w="1765" w:type="dxa"/>
                  <w:textDirection w:val="lrTb"/>
                  <w:noWrap w:val="false"/>
                </w:tcPr>
                <w:p>
                  <w:pPr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Лот 3</w:t>
                  </w:r>
                  <w:r/>
                </w:p>
              </w:tc>
              <w:tc>
                <w:tcPr>
                  <w:tcW w:w="8376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обществом с ограниченной ответственностью «ПНМ», в лице генерального директора Варченко Николая Владимировича </w:t>
                  </w:r>
                  <w:r/>
                </w:p>
              </w:tc>
            </w:tr>
            <w:tr>
              <w:trPr/>
              <w:tc>
                <w:tcPr>
                  <w:tcW w:w="1765" w:type="dxa"/>
                  <w:textDirection w:val="lrTb"/>
                  <w:noWrap w:val="false"/>
                </w:tcPr>
                <w:p>
                  <w:pPr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Лот 4</w:t>
                  </w:r>
                  <w:r/>
                </w:p>
              </w:tc>
              <w:tc>
                <w:tcPr>
                  <w:tcW w:w="8376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индивидуальным предпринимателем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Комиссаровой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Татьяной Андреевной</w:t>
                  </w:r>
                  <w:r/>
                </w:p>
              </w:tc>
            </w:tr>
          </w:tbl>
          <w:p>
            <w:pPr>
              <w:ind w:firstLine="851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/>
          </w:p>
        </w:tc>
      </w:tr>
    </w:tbl>
    <w:p>
      <w:pPr>
        <w:spacing w:after="24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/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И. Ю. Проскурина</w:t>
      </w:r>
      <w:r/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О. В. Исакова</w:t>
      </w:r>
      <w:r/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 А. Соколова</w:t>
      </w:r>
      <w:r/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В. Афанасьева</w:t>
      </w:r>
      <w:r/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 Г. Журавлева</w:t>
      </w:r>
      <w:r/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О. В. Федотова</w:t>
      </w:r>
      <w:r/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С.А. Нахмуров</w:t>
      </w:r>
      <w:r/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С. Дубов</w:t>
      </w:r>
      <w:r/>
    </w:p>
    <w:p>
      <w:pPr>
        <w:jc w:val="right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right"/>
        <w:spacing w:after="24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right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after="24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after="24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after="24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/>
    </w:p>
    <w:p>
      <w:pPr>
        <w:spacing w:after="24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/>
    </w:p>
    <w:p>
      <w:pPr>
        <w:spacing w:after="240" w:line="48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/>
    </w:p>
    <w:sectPr>
      <w:footnotePr/>
      <w:endnotePr/>
      <w:type w:val="nextPage"/>
      <w:pgSz w:w="11906" w:h="16838" w:orient="portrait"/>
      <w:pgMar w:top="567" w:right="851" w:bottom="567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</w:font>
  <w:font w:name="Tahoma">
    <w:panose1 w:val="020B0604030504040204"/>
  </w:font>
  <w:font w:name="Times New Roman">
    <w:panose1 w:val="02020603050405020304"/>
  </w:font>
  <w:font w:name="Century">
    <w:panose1 w:val="020406040505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4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5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4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45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2"/>
      <w:numFmt w:val="decimal"/>
      <w:isLgl/>
      <w:suff w:val="tab"/>
      <w:lvlText w:val="%1.%2."/>
      <w:lvlJc w:val="left"/>
      <w:pPr>
        <w:ind w:left="1080" w:hanging="720"/>
        <w:tabs>
          <w:tab w:val="num" w:pos="1080" w:leader="none"/>
        </w:tabs>
      </w:pPr>
      <w:rPr>
        <w:rFonts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  <w:tabs>
          <w:tab w:val="num" w:pos="1080" w:leader="none"/>
        </w:tabs>
      </w:pPr>
      <w:rPr>
        <w:rFonts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  <w:tabs>
          <w:tab w:val="num" w:pos="1440" w:leader="none"/>
        </w:tabs>
      </w:pPr>
      <w:rPr>
        <w:rFonts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  <w:tabs>
          <w:tab w:val="num" w:pos="1440" w:leader="none"/>
        </w:tabs>
      </w:pPr>
      <w:rPr>
        <w:rFonts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  <w:tabs>
          <w:tab w:val="num" w:pos="1800" w:leader="none"/>
        </w:tabs>
      </w:pPr>
      <w:rPr>
        <w:rFonts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rFonts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  <w:tabs>
          <w:tab w:val="num" w:pos="2160" w:leader="none"/>
        </w:tabs>
      </w:pPr>
      <w:rPr>
        <w:rFonts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  <w:tabs>
          <w:tab w:val="num" w:pos="2160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4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4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5" w:hanging="180"/>
      </w:pPr>
    </w:lvl>
  </w:abstractNum>
  <w:num w:numId="1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10"/>
  </w:num>
  <w:num w:numId="9">
    <w:abstractNumId w:val="2"/>
  </w:num>
  <w:num w:numId="10">
    <w:abstractNumId w:val="3"/>
  </w:num>
  <w:num w:numId="11">
    <w:abstractNumId w:val="12"/>
  </w:num>
  <w:num w:numId="12">
    <w:abstractNumId w:val="4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1">
    <w:name w:val="Heading 1"/>
    <w:basedOn w:val="837"/>
    <w:next w:val="837"/>
    <w:link w:val="66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2">
    <w:name w:val="Heading 1 Char"/>
    <w:basedOn w:val="838"/>
    <w:link w:val="661"/>
    <w:uiPriority w:val="9"/>
    <w:rPr>
      <w:rFonts w:ascii="Arial" w:hAnsi="Arial" w:eastAsia="Arial" w:cs="Arial"/>
      <w:sz w:val="40"/>
      <w:szCs w:val="40"/>
    </w:rPr>
  </w:style>
  <w:style w:type="paragraph" w:styleId="663">
    <w:name w:val="Heading 2"/>
    <w:basedOn w:val="837"/>
    <w:next w:val="837"/>
    <w:link w:val="66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4">
    <w:name w:val="Heading 2 Char"/>
    <w:basedOn w:val="838"/>
    <w:link w:val="663"/>
    <w:uiPriority w:val="9"/>
    <w:rPr>
      <w:rFonts w:ascii="Arial" w:hAnsi="Arial" w:eastAsia="Arial" w:cs="Arial"/>
      <w:sz w:val="34"/>
    </w:rPr>
  </w:style>
  <w:style w:type="paragraph" w:styleId="665">
    <w:name w:val="Heading 3"/>
    <w:basedOn w:val="837"/>
    <w:next w:val="837"/>
    <w:link w:val="6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6">
    <w:name w:val="Heading 3 Char"/>
    <w:basedOn w:val="838"/>
    <w:link w:val="665"/>
    <w:uiPriority w:val="9"/>
    <w:rPr>
      <w:rFonts w:ascii="Arial" w:hAnsi="Arial" w:eastAsia="Arial" w:cs="Arial"/>
      <w:sz w:val="30"/>
      <w:szCs w:val="30"/>
    </w:rPr>
  </w:style>
  <w:style w:type="paragraph" w:styleId="667">
    <w:name w:val="Heading 4"/>
    <w:basedOn w:val="837"/>
    <w:next w:val="837"/>
    <w:link w:val="66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8">
    <w:name w:val="Heading 4 Char"/>
    <w:basedOn w:val="838"/>
    <w:link w:val="667"/>
    <w:uiPriority w:val="9"/>
    <w:rPr>
      <w:rFonts w:ascii="Arial" w:hAnsi="Arial" w:eastAsia="Arial" w:cs="Arial"/>
      <w:b/>
      <w:bCs/>
      <w:sz w:val="26"/>
      <w:szCs w:val="26"/>
    </w:rPr>
  </w:style>
  <w:style w:type="paragraph" w:styleId="669">
    <w:name w:val="Heading 5"/>
    <w:basedOn w:val="837"/>
    <w:next w:val="837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0">
    <w:name w:val="Heading 5 Char"/>
    <w:basedOn w:val="838"/>
    <w:link w:val="669"/>
    <w:uiPriority w:val="9"/>
    <w:rPr>
      <w:rFonts w:ascii="Arial" w:hAnsi="Arial" w:eastAsia="Arial" w:cs="Arial"/>
      <w:b/>
      <w:bCs/>
      <w:sz w:val="24"/>
      <w:szCs w:val="24"/>
    </w:rPr>
  </w:style>
  <w:style w:type="paragraph" w:styleId="671">
    <w:name w:val="Heading 6"/>
    <w:basedOn w:val="837"/>
    <w:next w:val="837"/>
    <w:link w:val="67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2">
    <w:name w:val="Heading 6 Char"/>
    <w:basedOn w:val="838"/>
    <w:link w:val="671"/>
    <w:uiPriority w:val="9"/>
    <w:rPr>
      <w:rFonts w:ascii="Arial" w:hAnsi="Arial" w:eastAsia="Arial" w:cs="Arial"/>
      <w:b/>
      <w:bCs/>
      <w:sz w:val="22"/>
      <w:szCs w:val="22"/>
    </w:rPr>
  </w:style>
  <w:style w:type="paragraph" w:styleId="673">
    <w:name w:val="Heading 7"/>
    <w:basedOn w:val="837"/>
    <w:next w:val="837"/>
    <w:link w:val="67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4">
    <w:name w:val="Heading 7 Char"/>
    <w:basedOn w:val="838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5">
    <w:name w:val="Heading 8"/>
    <w:basedOn w:val="837"/>
    <w:next w:val="837"/>
    <w:link w:val="67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6">
    <w:name w:val="Heading 8 Char"/>
    <w:basedOn w:val="838"/>
    <w:link w:val="675"/>
    <w:uiPriority w:val="9"/>
    <w:rPr>
      <w:rFonts w:ascii="Arial" w:hAnsi="Arial" w:eastAsia="Arial" w:cs="Arial"/>
      <w:i/>
      <w:iCs/>
      <w:sz w:val="22"/>
      <w:szCs w:val="22"/>
    </w:rPr>
  </w:style>
  <w:style w:type="paragraph" w:styleId="677">
    <w:name w:val="Heading 9"/>
    <w:basedOn w:val="837"/>
    <w:next w:val="837"/>
    <w:link w:val="67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>
    <w:name w:val="Heading 9 Char"/>
    <w:basedOn w:val="83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7"/>
    <w:next w:val="837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38"/>
    <w:link w:val="680"/>
    <w:uiPriority w:val="10"/>
    <w:rPr>
      <w:sz w:val="48"/>
      <w:szCs w:val="48"/>
    </w:rPr>
  </w:style>
  <w:style w:type="paragraph" w:styleId="682">
    <w:name w:val="Subtitle"/>
    <w:basedOn w:val="837"/>
    <w:next w:val="837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38"/>
    <w:link w:val="682"/>
    <w:uiPriority w:val="11"/>
    <w:rPr>
      <w:sz w:val="24"/>
      <w:szCs w:val="24"/>
    </w:rPr>
  </w:style>
  <w:style w:type="paragraph" w:styleId="684">
    <w:name w:val="Quote"/>
    <w:basedOn w:val="837"/>
    <w:next w:val="837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7"/>
    <w:next w:val="837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7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basedOn w:val="838"/>
    <w:link w:val="688"/>
    <w:uiPriority w:val="99"/>
  </w:style>
  <w:style w:type="paragraph" w:styleId="690">
    <w:name w:val="Footer"/>
    <w:basedOn w:val="837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basedOn w:val="838"/>
    <w:link w:val="690"/>
    <w:uiPriority w:val="99"/>
  </w:style>
  <w:style w:type="paragraph" w:styleId="692">
    <w:name w:val="Caption"/>
    <w:basedOn w:val="837"/>
    <w:next w:val="8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3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4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5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6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7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8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000ff" w:themeColor="hyperlink"/>
      <w:u w:val="single"/>
    </w:rPr>
  </w:style>
  <w:style w:type="paragraph" w:styleId="820">
    <w:name w:val="footnote text"/>
    <w:basedOn w:val="83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>
    <w:name w:val="Footnote Text Char"/>
    <w:link w:val="820"/>
    <w:uiPriority w:val="99"/>
    <w:rPr>
      <w:sz w:val="18"/>
    </w:rPr>
  </w:style>
  <w:style w:type="character" w:styleId="822">
    <w:name w:val="footnote reference"/>
    <w:basedOn w:val="838"/>
    <w:uiPriority w:val="99"/>
    <w:unhideWhenUsed/>
    <w:rPr>
      <w:vertAlign w:val="superscript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qFormat/>
    <w:pPr>
      <w:spacing w:after="0" w:line="240" w:lineRule="auto"/>
      <w:widowControl w:val="off"/>
    </w:pPr>
    <w:rPr>
      <w:rFonts w:ascii="Arial" w:hAnsi="Arial" w:eastAsia="Times New Roman" w:cs="Arial"/>
      <w:sz w:val="18"/>
      <w:szCs w:val="18"/>
      <w:lang w:eastAsia="ru-RU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paragraph" w:styleId="841">
    <w:name w:val="List Paragraph"/>
    <w:basedOn w:val="837"/>
    <w:uiPriority w:val="34"/>
    <w:qFormat/>
    <w:pPr>
      <w:contextualSpacing/>
      <w:ind w:left="720"/>
    </w:pPr>
  </w:style>
  <w:style w:type="paragraph" w:styleId="842">
    <w:name w:val="Balloon Text"/>
    <w:basedOn w:val="837"/>
    <w:link w:val="843"/>
    <w:uiPriority w:val="99"/>
    <w:semiHidden/>
    <w:unhideWhenUsed/>
    <w:rPr>
      <w:rFonts w:ascii="Tahoma" w:hAnsi="Tahoma" w:cs="Tahoma"/>
      <w:sz w:val="16"/>
      <w:szCs w:val="16"/>
    </w:rPr>
  </w:style>
  <w:style w:type="character" w:styleId="843" w:customStyle="1">
    <w:name w:val="Текст выноски Знак"/>
    <w:basedOn w:val="838"/>
    <w:link w:val="84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844">
    <w:name w:val="Table Grid"/>
    <w:basedOn w:val="839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45">
    <w:name w:val="Strong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4283A-E4B1-4700-A0B9-A3925DBE6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ФКУ Администрации города Костромы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JuravlevaMG</dc:creator>
  <cp:revision>11</cp:revision>
  <dcterms:created xsi:type="dcterms:W3CDTF">2023-07-12T11:55:00Z</dcterms:created>
  <dcterms:modified xsi:type="dcterms:W3CDTF">2023-09-07T13:07:21Z</dcterms:modified>
</cp:coreProperties>
</file>